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B6AD58" w14:textId="77777777" w:rsidR="00B33481" w:rsidRDefault="00B33481" w:rsidP="004A44B1">
      <w:pPr>
        <w:rPr>
          <w:b/>
          <w:bCs/>
          <w:color w:val="ED7D31" w:themeColor="accent2"/>
          <w:sz w:val="28"/>
          <w:szCs w:val="28"/>
        </w:rPr>
      </w:pPr>
      <w:r w:rsidRPr="00B33481">
        <w:rPr>
          <w:b/>
          <w:bCs/>
          <w:color w:val="ED7D31" w:themeColor="accent2"/>
          <w:sz w:val="28"/>
          <w:szCs w:val="28"/>
        </w:rPr>
        <w:t>COVID-19 EMPLOYMENT FAQS – EMPLOYEE SAFETY</w:t>
      </w:r>
    </w:p>
    <w:p w14:paraId="68DFB06E" w14:textId="77777777" w:rsidR="00B33481" w:rsidRDefault="000C24CD" w:rsidP="00B33481">
      <w:pPr>
        <w:jc w:val="both"/>
      </w:pPr>
      <w:r w:rsidRPr="000C24CD">
        <w:rPr>
          <w:b/>
          <w:bCs/>
          <w:caps/>
          <w:color w:val="0099FF"/>
          <w:sz w:val="24"/>
          <w:szCs w:val="24"/>
        </w:rPr>
        <w:t>introduction</w:t>
      </w:r>
      <w:r w:rsidR="004A44B1">
        <w:br/>
      </w:r>
      <w:r w:rsidR="00B33481">
        <w:t xml:space="preserve">As the COVID-19 coronavirus continues to present challenges to employers worldwide, we have created </w:t>
      </w:r>
      <w:proofErr w:type="gramStart"/>
      <w:r w:rsidR="00B33481">
        <w:t>this frequently asked questions</w:t>
      </w:r>
      <w:proofErr w:type="gramEnd"/>
      <w:r w:rsidR="00B33481">
        <w:t xml:space="preserve"> document to answer some of the most common questions we have been hearing from clients, friends and family members. This general FAQ is applicable as of March 18, 2020. The COVID-19 situation is changing rapidly, and we will make every effort to update this document with applicable information when appropriate. If you have any questions, please contact any member of the Pepper Hamilton Labor and Employment Practice Group or the COVID-19 Response Team.</w:t>
      </w:r>
    </w:p>
    <w:p w14:paraId="6880541C" w14:textId="77777777" w:rsidR="00B33481" w:rsidRDefault="00B33481" w:rsidP="00B33481">
      <w:pPr>
        <w:jc w:val="both"/>
      </w:pPr>
      <w:r>
        <w:t xml:space="preserve">The information below incorporates guidance from the Centers for Disease Control and Prevention (CDC), but is not intended to be a substitute for professional medical advice, diagnosis or treatment. </w:t>
      </w:r>
    </w:p>
    <w:p w14:paraId="1E27A272" w14:textId="77777777" w:rsidR="00B33481" w:rsidRPr="00B33481" w:rsidRDefault="00B33481" w:rsidP="00B33481">
      <w:pPr>
        <w:jc w:val="both"/>
        <w:rPr>
          <w:b/>
          <w:bCs/>
        </w:rPr>
      </w:pPr>
      <w:r w:rsidRPr="00B33481">
        <w:rPr>
          <w:b/>
          <w:bCs/>
        </w:rPr>
        <w:t xml:space="preserve">WHAT SHOULD AN EMPLOYER DO IF AN EMPLOYEE COMES TO WORK EXHIBITING CORONAVIRUS SYMPTOMS? </w:t>
      </w:r>
    </w:p>
    <w:p w14:paraId="718FB4F2" w14:textId="77777777" w:rsidR="00B33481" w:rsidRDefault="00B33481" w:rsidP="00B33481">
      <w:pPr>
        <w:jc w:val="both"/>
      </w:pPr>
      <w:r>
        <w:t xml:space="preserve">If an employee comes to work displaying coronavirus symptoms (fever, shortness of breath, cough or other flu-like symptoms), stay calm. Immediately separate the employee from other employees, and send the employee home until the employee has been symptom free for at least 24 hours without medication (based on CDC flu guidance), or until cleared by a health care provider. If the employee came into close physical contact with other employees during their time in the workplace (i.e., a distance of less than six feet), send those employees home to self-quarantine for 14 days. If any of those employees develop symptoms, he or she should stay home until he or she has been symptom free for at least 24 hours without medication (based on CDC flu guidance), or until cleared by a health care provider. Employers should also conduct a deep clean of the ill/potentially ill employee’s workspace. </w:t>
      </w:r>
    </w:p>
    <w:p w14:paraId="311D9755" w14:textId="77777777" w:rsidR="00B33481" w:rsidRPr="00B33481" w:rsidRDefault="00B33481" w:rsidP="00B33481">
      <w:pPr>
        <w:jc w:val="both"/>
        <w:rPr>
          <w:b/>
          <w:bCs/>
        </w:rPr>
      </w:pPr>
      <w:r w:rsidRPr="00B33481">
        <w:rPr>
          <w:b/>
          <w:bCs/>
        </w:rPr>
        <w:t xml:space="preserve">WHAT SHOULD AN EMPLOYER DO IF AN EMPLOYEE IS DIAGNOSED WITH COVID-19 OR A PRESUMPTIVE CASE OF COVID-19? </w:t>
      </w:r>
    </w:p>
    <w:p w14:paraId="5743759D" w14:textId="77777777" w:rsidR="00B33481" w:rsidRDefault="00B33481" w:rsidP="00B33481">
      <w:pPr>
        <w:jc w:val="both"/>
      </w:pPr>
      <w:r>
        <w:t>In the unlikely event the employee is at work when the employee receives the news, send the employee home immediately and follow the procedures outlined above. If the employee is not in the workplace, notify all potentially impacted employees of their potential exposure — meaning all employees who were in close contact with the infected employee (within six feet) during the prior 14 days, and then send those employees home for a period of at least 14 days. Employers should also conduct a deep clean of the diagnosed/potentially diagnosed employee’s workspace. Employers should not reveal the identity of the infected employee unless the infected employee has provided permission to share his or her name. Like with any illness, the reason for an employee’s absence is confidential and should not be shared with others. Depending on the nature of your workplace, you may also want to inform any potentially exposed customers, vendors and/or other building tenants.</w:t>
      </w:r>
    </w:p>
    <w:p w14:paraId="5203EACA" w14:textId="77777777" w:rsidR="00B33481" w:rsidRPr="00B33481" w:rsidRDefault="00B33481" w:rsidP="00B33481">
      <w:pPr>
        <w:jc w:val="both"/>
        <w:rPr>
          <w:b/>
          <w:bCs/>
        </w:rPr>
      </w:pPr>
      <w:r w:rsidRPr="00B33481">
        <w:rPr>
          <w:b/>
          <w:bCs/>
        </w:rPr>
        <w:t xml:space="preserve">WHAT SHOULD A BUSINESS DO IF AN EMPLOYEE INFORMS AN EMPLOYER THAT THE EMPLOYEE HAS COME IN CONTACT WITH AN INDIVIDUAL DIAGNOSED WITH COVID-19 OR A PRESUMPTIVE CASE OF COVID-19? </w:t>
      </w:r>
    </w:p>
    <w:p w14:paraId="417E7EBD" w14:textId="6EF2CC1B" w:rsidR="00B33481" w:rsidRDefault="00B33481" w:rsidP="00B33481">
      <w:pPr>
        <w:jc w:val="both"/>
      </w:pPr>
      <w:r>
        <w:t xml:space="preserve">Follow the same steps as above. Send the employee home to self-quarantine for 14 days and, if they develop symptoms, until the employee has been symptom free for at least 24 hours without medication (based on CDC flu guidance), or until cleared by a health care provider. You should follow the same course of action with any employees with whom the reporting employee came in close contact over the prior 14 days. </w:t>
      </w:r>
    </w:p>
    <w:p w14:paraId="2CD0ED1B" w14:textId="77777777" w:rsidR="00B33481" w:rsidRPr="00B33481" w:rsidRDefault="00B33481" w:rsidP="00B33481">
      <w:pPr>
        <w:jc w:val="both"/>
        <w:rPr>
          <w:b/>
          <w:bCs/>
        </w:rPr>
      </w:pPr>
      <w:r w:rsidRPr="00B33481">
        <w:rPr>
          <w:b/>
          <w:bCs/>
        </w:rPr>
        <w:lastRenderedPageBreak/>
        <w:t>WHAT SHOULD AN EMPLOYER DO IF AN EMPLOYEE WANTS TO WEAR A FACE MASK IN THE WORKPLACE?</w:t>
      </w:r>
    </w:p>
    <w:p w14:paraId="6624F37B" w14:textId="77777777" w:rsidR="00B33481" w:rsidRDefault="00B33481" w:rsidP="00B33481">
      <w:pPr>
        <w:jc w:val="both"/>
      </w:pPr>
      <w:r>
        <w:t>This is generally up to the employer. Employers are free to permit employees to wear face masks at work, but some employers may not want employees to wear face masks — particularly if the employees are in customer-facing roles. CDC advises that there is no need to wear a face mask unless an individual is sick or caring for a person who is sick — in which case, the employee should not be at work. The government advises that these masks do little to prevent individuals in the general population from contracting COVID-19, but these masks are desperately needed in health care settings for individuals who are actually treating patients with COVID-19. Unless an employee has another disability that requires the use of a mask or is working in the health care field with COVID-19 patients, an employer can safely prohibit the use of masks in the workplace. However, if the employer does not have a business reason to prohibit the face mask and it makes the employee feel safe, there is no requirement to prohibit it either.</w:t>
      </w:r>
    </w:p>
    <w:p w14:paraId="329DAB3F" w14:textId="77777777" w:rsidR="00B33481" w:rsidRPr="00B33481" w:rsidRDefault="00B33481" w:rsidP="00B33481">
      <w:pPr>
        <w:jc w:val="both"/>
        <w:rPr>
          <w:b/>
          <w:bCs/>
        </w:rPr>
      </w:pPr>
      <w:r w:rsidRPr="00B33481">
        <w:rPr>
          <w:b/>
          <w:bCs/>
        </w:rPr>
        <w:t>CAN EMPLOYERS TAKE EMPLOYEE TEMPERATURES AT WORK? (REVISED MARCH 18, 2020)</w:t>
      </w:r>
    </w:p>
    <w:p w14:paraId="65BF6980" w14:textId="77777777" w:rsidR="00B33481" w:rsidRDefault="00B33481" w:rsidP="00B33481">
      <w:pPr>
        <w:jc w:val="both"/>
      </w:pPr>
      <w:r>
        <w:t xml:space="preserve">Yes. Per the EEOC in a Q&amp;A issued on March 18, 2020: “Generally, measuring an employee's body temperature is a medical examination. Because the CDC and state/local health authorities have acknowledged community spread of COVID-19 and issued attendant precautions, employers may measure employees' body temperature. However, employers should be aware that some people with COVID-19 do not have a fever.” </w:t>
      </w:r>
    </w:p>
    <w:p w14:paraId="7B3F36A0" w14:textId="77777777" w:rsidR="00B33481" w:rsidRPr="00B33481" w:rsidRDefault="00B33481" w:rsidP="00B33481">
      <w:pPr>
        <w:jc w:val="both"/>
        <w:rPr>
          <w:b/>
          <w:bCs/>
        </w:rPr>
      </w:pPr>
      <w:r w:rsidRPr="00B33481">
        <w:rPr>
          <w:b/>
          <w:bCs/>
        </w:rPr>
        <w:t xml:space="preserve">CAN WE MAKE THERMOMETERS AVAILABLE TO EMPLOYEES FOR THEM TO VOLUNTARILY TAKE THEIR TEMPERATURE? </w:t>
      </w:r>
    </w:p>
    <w:p w14:paraId="431FA43E" w14:textId="77777777" w:rsidR="00B33481" w:rsidRDefault="00B33481" w:rsidP="00B33481">
      <w:pPr>
        <w:jc w:val="both"/>
      </w:pPr>
      <w:r>
        <w:t>Yes, provided it is purely voluntary. Employers should not record employee temperatures. Employers should also provide sufficient tools to make sure thermometers are properly sanitized to lower the risk of passing infection to other employees.</w:t>
      </w:r>
    </w:p>
    <w:p w14:paraId="2FECABC7" w14:textId="77777777" w:rsidR="00B33481" w:rsidRPr="00B33481" w:rsidRDefault="00B33481" w:rsidP="00B33481">
      <w:pPr>
        <w:jc w:val="both"/>
        <w:rPr>
          <w:b/>
          <w:bCs/>
        </w:rPr>
      </w:pPr>
      <w:r w:rsidRPr="00B33481">
        <w:rPr>
          <w:b/>
          <w:bCs/>
        </w:rPr>
        <w:t xml:space="preserve">IF AN EMPLOYEE IS RETURNING FROM VACATION, MAY I ASK THE EMPLOYEE ABOUT THE COUNTRIES THEY TRAVELED TO? </w:t>
      </w:r>
    </w:p>
    <w:p w14:paraId="2586AF30" w14:textId="77777777" w:rsidR="00B33481" w:rsidRDefault="00B33481" w:rsidP="00B33481">
      <w:pPr>
        <w:jc w:val="both"/>
      </w:pPr>
      <w:r>
        <w:t>Yes. And if the employee has been in a country where the CDC is warning against nonessential travel (currently, Austria, Belgium, mainland China, Czech Republic, Denmark, Estonia, Finland, France, Germany, Greece, Hungary, Iceland, Iran, Italy, Latvia, Liechtenstein, Lithuania, Luxembourg, Malta, Netherlands, Norway, Poland, Portugal, Slovakia, South Korea, Spain, Sweden, Switzerland, Monaco, San Marino and Vatican City), you may require the employee to stay home or work remotely for a 14-day quarantine period.</w:t>
      </w:r>
    </w:p>
    <w:p w14:paraId="3AFB7943" w14:textId="77777777" w:rsidR="00B33481" w:rsidRPr="00B33481" w:rsidRDefault="00B33481" w:rsidP="00B33481">
      <w:pPr>
        <w:jc w:val="both"/>
        <w:rPr>
          <w:b/>
          <w:bCs/>
        </w:rPr>
      </w:pPr>
      <w:r w:rsidRPr="00B33481">
        <w:rPr>
          <w:b/>
          <w:bCs/>
        </w:rPr>
        <w:t>CAN WE PROHIBIT EMPLOYEES FROM TRAVELING TO THOSE COUNTRIES IDENTIFIED BY THE CDC?</w:t>
      </w:r>
    </w:p>
    <w:p w14:paraId="06BE0A04" w14:textId="59A51457" w:rsidR="00B33481" w:rsidRPr="00B33481" w:rsidRDefault="00B33481" w:rsidP="00B33481">
      <w:pPr>
        <w:jc w:val="both"/>
      </w:pPr>
      <w:r>
        <w:t>Probably not. Many states have off-duty conduct laws that prohibit employers from regulating what employees do outside of work hours. You may, however, advise employees of the risks of traveling to those countries and tell them that they will need to self-quarantine when they return from their trip.</w:t>
      </w:r>
      <w:bookmarkStart w:id="0" w:name="_GoBack"/>
      <w:bookmarkEnd w:id="0"/>
    </w:p>
    <w:p w14:paraId="1756E7A3" w14:textId="738D1726" w:rsidR="00B33481" w:rsidRPr="00B33481" w:rsidRDefault="00B33481" w:rsidP="00B33481">
      <w:pPr>
        <w:jc w:val="both"/>
        <w:rPr>
          <w:b/>
          <w:bCs/>
        </w:rPr>
      </w:pPr>
      <w:r w:rsidRPr="00B33481">
        <w:rPr>
          <w:b/>
          <w:bCs/>
        </w:rPr>
        <w:t xml:space="preserve">HOW SHOULD I HANDLE EMPLOYEE MEDICAL INFORMATION? </w:t>
      </w:r>
    </w:p>
    <w:p w14:paraId="7C0106D1" w14:textId="77777777" w:rsidR="00B33481" w:rsidRDefault="00B33481" w:rsidP="00B33481">
      <w:pPr>
        <w:jc w:val="both"/>
      </w:pPr>
      <w:r>
        <w:t xml:space="preserve">If an employer receives confidential medical information about an employee, the employer should take all reasonable steps to protect the privacy and medical information of the employee. In general, employers are required to maintain all information about employee illnesses as a confidential medical </w:t>
      </w:r>
      <w:r>
        <w:lastRenderedPageBreak/>
        <w:t>record. If employers have hardcopy or electronic copies of employee medical files, those files should be kept separate from the employee’s other personnel records, and access to the medical records should be limited. These files should be kept in a secure, locked filing cabinet or a password-protected electronic file.</w:t>
      </w:r>
    </w:p>
    <w:p w14:paraId="4E6F7F61" w14:textId="77777777" w:rsidR="00B33481" w:rsidRPr="00B33481" w:rsidRDefault="00B33481" w:rsidP="00B33481">
      <w:pPr>
        <w:jc w:val="both"/>
        <w:rPr>
          <w:b/>
          <w:bCs/>
        </w:rPr>
      </w:pPr>
      <w:r w:rsidRPr="00B33481">
        <w:rPr>
          <w:b/>
          <w:bCs/>
        </w:rPr>
        <w:t xml:space="preserve">WHERE ELSE CAN I GET WORKPLACE SAFETY TIPS? </w:t>
      </w:r>
    </w:p>
    <w:p w14:paraId="2D0CEE6C" w14:textId="77777777" w:rsidR="00B33481" w:rsidRPr="00B33481" w:rsidRDefault="00B33481" w:rsidP="00B33481">
      <w:pPr>
        <w:pStyle w:val="BodyText"/>
        <w:jc w:val="both"/>
        <w:rPr>
          <w:rFonts w:asciiTheme="minorHAnsi" w:hAnsiTheme="minorHAnsi" w:cstheme="minorHAnsi"/>
          <w:sz w:val="22"/>
          <w:szCs w:val="24"/>
        </w:rPr>
      </w:pPr>
      <w:r>
        <w:t xml:space="preserve">The Occupational Safety and Health Administration (OSHA) has </w:t>
      </w:r>
      <w:r w:rsidRPr="00B33481">
        <w:rPr>
          <w:rFonts w:asciiTheme="minorHAnsi" w:hAnsiTheme="minorHAnsi" w:cstheme="minorHAnsi"/>
          <w:sz w:val="22"/>
          <w:szCs w:val="24"/>
        </w:rPr>
        <w:t xml:space="preserve">published </w:t>
      </w:r>
      <w:hyperlink r:id="rId6" w:history="1">
        <w:r w:rsidRPr="00B33481">
          <w:rPr>
            <w:rFonts w:asciiTheme="minorHAnsi" w:hAnsiTheme="minorHAnsi" w:cstheme="minorHAnsi"/>
            <w:color w:val="0563C1" w:themeColor="hyperlink"/>
            <w:sz w:val="22"/>
            <w:szCs w:val="24"/>
            <w:u w:val="single"/>
          </w:rPr>
          <w:t>Guidance on Preparing Workplaces for COVID-19</w:t>
        </w:r>
      </w:hyperlink>
      <w:r w:rsidRPr="00B33481">
        <w:rPr>
          <w:rFonts w:asciiTheme="minorHAnsi" w:hAnsiTheme="minorHAnsi" w:cstheme="minorHAnsi"/>
          <w:sz w:val="22"/>
          <w:szCs w:val="24"/>
        </w:rPr>
        <w:t>.</w:t>
      </w:r>
    </w:p>
    <w:p w14:paraId="20E4D015" w14:textId="642364D9" w:rsidR="00C84F2D" w:rsidRDefault="00C84F2D" w:rsidP="00B33481"/>
    <w:sectPr w:rsidR="00C84F2D" w:rsidSect="004A44B1">
      <w:headerReference w:type="default" r:id="rId7"/>
      <w:pgSz w:w="12240" w:h="15840"/>
      <w:pgMar w:top="1710" w:right="1440" w:bottom="81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9F0BD1" w14:textId="77777777" w:rsidR="00E847A8" w:rsidRDefault="00E847A8" w:rsidP="000C24CD">
      <w:pPr>
        <w:spacing w:after="0" w:line="240" w:lineRule="auto"/>
      </w:pPr>
      <w:r>
        <w:separator/>
      </w:r>
    </w:p>
  </w:endnote>
  <w:endnote w:type="continuationSeparator" w:id="0">
    <w:p w14:paraId="1E74F97D" w14:textId="77777777" w:rsidR="00E847A8" w:rsidRDefault="00E847A8" w:rsidP="000C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7D9FF" w14:textId="77777777" w:rsidR="00E847A8" w:rsidRDefault="00E847A8" w:rsidP="000C24CD">
      <w:pPr>
        <w:spacing w:after="0" w:line="240" w:lineRule="auto"/>
      </w:pPr>
      <w:r>
        <w:separator/>
      </w:r>
    </w:p>
  </w:footnote>
  <w:footnote w:type="continuationSeparator" w:id="0">
    <w:p w14:paraId="31291C53" w14:textId="77777777" w:rsidR="00E847A8" w:rsidRDefault="00E847A8" w:rsidP="000C2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811CC" w14:textId="769EB47C" w:rsidR="00B5310B" w:rsidRDefault="00E847A8" w:rsidP="00B5310B">
    <w:pPr>
      <w:pStyle w:val="Header"/>
      <w:jc w:val="center"/>
    </w:pPr>
  </w:p>
  <w:p w14:paraId="1F6FC708" w14:textId="0F91C24B" w:rsidR="00B71608" w:rsidRDefault="004A44B1" w:rsidP="00B5310B">
    <w:pPr>
      <w:pStyle w:val="Header"/>
      <w:jc w:val="center"/>
    </w:pPr>
    <w:r w:rsidRPr="003C3756">
      <w:rPr>
        <w:noProof/>
      </w:rPr>
      <mc:AlternateContent>
        <mc:Choice Requires="wps">
          <w:drawing>
            <wp:anchor distT="0" distB="0" distL="114300" distR="114300" simplePos="0" relativeHeight="251663360" behindDoc="0" locked="0" layoutInCell="1" allowOverlap="1" wp14:anchorId="65D76088" wp14:editId="202BFD72">
              <wp:simplePos x="0" y="0"/>
              <wp:positionH relativeFrom="column">
                <wp:posOffset>866775</wp:posOffset>
              </wp:positionH>
              <wp:positionV relativeFrom="paragraph">
                <wp:posOffset>656590</wp:posOffset>
              </wp:positionV>
              <wp:extent cx="4458445" cy="0"/>
              <wp:effectExtent l="0" t="0" r="0" b="0"/>
              <wp:wrapNone/>
              <wp:docPr id="3" name="Straight Connector 2">
                <a:extLst xmlns:a="http://schemas.openxmlformats.org/drawingml/2006/main">
                  <a:ext uri="{FF2B5EF4-FFF2-40B4-BE49-F238E27FC236}">
                    <a16:creationId xmlns:a16="http://schemas.microsoft.com/office/drawing/2014/main" id="{36E0CD01-BE16-46F9-BF13-D70AE18801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58445"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A848C0"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8.25pt,51.7pt" to="419.3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" strokecolor="#a5a5a5 [2092]" strokeweight=".5pt">
              <v:stroke joinstyle="miter"/>
              <o:lock v:ext="edit" shapetype="f"/>
            </v:line>
          </w:pict>
        </mc:Fallback>
      </mc:AlternateContent>
    </w:r>
    <w:r w:rsidRPr="003C3756">
      <w:rPr>
        <w:noProof/>
      </w:rPr>
      <mc:AlternateContent>
        <mc:Choice Requires="wps">
          <w:drawing>
            <wp:anchor distT="0" distB="0" distL="114300" distR="114300" simplePos="0" relativeHeight="251661312" behindDoc="0" locked="0" layoutInCell="1" allowOverlap="1" wp14:anchorId="6EDE91A2" wp14:editId="49B04514">
              <wp:simplePos x="0" y="0"/>
              <wp:positionH relativeFrom="column">
                <wp:posOffset>866775</wp:posOffset>
              </wp:positionH>
              <wp:positionV relativeFrom="paragraph">
                <wp:posOffset>94615</wp:posOffset>
              </wp:positionV>
              <wp:extent cx="3709670" cy="640080"/>
              <wp:effectExtent l="0" t="0" r="0" b="0"/>
              <wp:wrapNone/>
              <wp:docPr id="15" name="Text Box 2">
                <a:extLst xmlns:a="http://schemas.openxmlformats.org/drawingml/2006/main">
                  <a:ext uri="{FF2B5EF4-FFF2-40B4-BE49-F238E27FC236}">
                    <a16:creationId xmlns:a16="http://schemas.microsoft.com/office/drawing/2014/main" id="{37F9BD0E-315A-4D7A-9412-F7B64E454F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670" cy="640080"/>
                      </a:xfrm>
                      <a:prstGeom prst="rect">
                        <a:avLst/>
                      </a:prstGeom>
                      <a:noFill/>
                      <a:ln w="9525">
                        <a:noFill/>
                        <a:miter lim="800000"/>
                        <a:headEnd/>
                        <a:tailEnd/>
                      </a:ln>
                    </wps:spPr>
                    <wps:txbx>
                      <w:txbxContent>
                        <w:p w14:paraId="7E6F3DA3" w14:textId="77777777" w:rsidR="004A44B1" w:rsidRDefault="004A44B1" w:rsidP="004A44B1">
                          <w:pPr>
                            <w:rPr>
                              <w:sz w:val="24"/>
                              <w:szCs w:val="24"/>
                            </w:rPr>
                          </w:pPr>
                          <w:r>
                            <w:rPr>
                              <w:rFonts w:ascii="Calibri" w:eastAsia="Calibri" w:hAnsi="Calibri"/>
                              <w:color w:val="0099FF"/>
                              <w:kern w:val="24"/>
                              <w:sz w:val="36"/>
                              <w:szCs w:val="36"/>
                            </w:rPr>
                            <w:t>AIMCOR GROUP, LLC</w:t>
                          </w:r>
                          <w:r>
                            <w:rPr>
                              <w:rFonts w:ascii="Calibri" w:eastAsia="Calibri" w:hAnsi="Calibri"/>
                              <w:color w:val="000000" w:themeColor="text1"/>
                              <w:kern w:val="24"/>
                            </w:rPr>
                            <w:br/>
                          </w:r>
                          <w:r>
                            <w:rPr>
                              <w:rFonts w:ascii="Calibri" w:eastAsia="Calibri" w:hAnsi="Calibri"/>
                              <w:b/>
                              <w:bCs/>
                              <w:color w:val="000000" w:themeColor="text1"/>
                              <w:kern w:val="24"/>
                            </w:rPr>
                            <w:t>CORPORATE IMPACT RESPONSE COALITION (CIRC)</w:t>
                          </w:r>
                        </w:p>
                      </w:txbxContent>
                    </wps:txbx>
                    <wps:bodyPr rot="0" vert="horz" wrap="square" lIns="91440" tIns="45720" rIns="91440" bIns="45720" anchor="t" anchorCtr="0">
                      <a:noAutofit/>
                    </wps:bodyPr>
                  </wps:wsp>
                </a:graphicData>
              </a:graphic>
            </wp:anchor>
          </w:drawing>
        </mc:Choice>
        <mc:Fallback>
          <w:pict>
            <v:shapetype w14:anchorId="6EDE91A2" id="_x0000_t202" coordsize="21600,21600" o:spt="202" path="m,l,21600r21600,l21600,xe">
              <v:stroke joinstyle="miter"/>
              <v:path gradientshapeok="t" o:connecttype="rect"/>
            </v:shapetype>
            <v:shape id="Text Box 2" o:spid="_x0000_s1026" type="#_x0000_t202" style="position:absolute;left:0;text-align:left;margin-left:68.25pt;margin-top:7.45pt;width:292.1pt;height:50.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" filled="f" stroked="f">
              <v:textbox>
                <w:txbxContent>
                  <w:p w14:paraId="7E6F3DA3" w14:textId="77777777" w:rsidR="004A44B1" w:rsidRDefault="004A44B1" w:rsidP="004A44B1">
                    <w:pPr>
                      <w:rPr>
                        <w:sz w:val="24"/>
                        <w:szCs w:val="24"/>
                      </w:rPr>
                    </w:pPr>
                    <w:r>
                      <w:rPr>
                        <w:rFonts w:ascii="Calibri" w:eastAsia="Calibri" w:hAnsi="Calibri"/>
                        <w:color w:val="0099FF"/>
                        <w:kern w:val="24"/>
                        <w:sz w:val="36"/>
                        <w:szCs w:val="36"/>
                      </w:rPr>
                      <w:t>AIMCOR GROUP, LLC</w:t>
                    </w:r>
                    <w:r>
                      <w:rPr>
                        <w:rFonts w:ascii="Calibri" w:eastAsia="Calibri" w:hAnsi="Calibri"/>
                        <w:color w:val="000000" w:themeColor="text1"/>
                        <w:kern w:val="24"/>
                      </w:rPr>
                      <w:br/>
                    </w:r>
                    <w:r>
                      <w:rPr>
                        <w:rFonts w:ascii="Calibri" w:eastAsia="Calibri" w:hAnsi="Calibri"/>
                        <w:b/>
                        <w:bCs/>
                        <w:color w:val="000000" w:themeColor="text1"/>
                        <w:kern w:val="24"/>
                      </w:rPr>
                      <w:t>CORPORATE IMPACT RESPONSE COALITION (CIRC)</w:t>
                    </w:r>
                  </w:p>
                </w:txbxContent>
              </v:textbox>
            </v:shape>
          </w:pict>
        </mc:Fallback>
      </mc:AlternateContent>
    </w:r>
    <w:r w:rsidRPr="003C3756">
      <w:rPr>
        <w:noProof/>
      </w:rPr>
      <w:drawing>
        <wp:anchor distT="0" distB="0" distL="114300" distR="114300" simplePos="0" relativeHeight="251659264" behindDoc="0" locked="0" layoutInCell="1" allowOverlap="1" wp14:anchorId="04A8851B" wp14:editId="50071D19">
          <wp:simplePos x="0" y="0"/>
          <wp:positionH relativeFrom="column">
            <wp:posOffset>0</wp:posOffset>
          </wp:positionH>
          <wp:positionV relativeFrom="paragraph">
            <wp:posOffset>-635</wp:posOffset>
          </wp:positionV>
          <wp:extent cx="929005" cy="802322"/>
          <wp:effectExtent l="0" t="0" r="4445" b="0"/>
          <wp:wrapNone/>
          <wp:docPr id="16" name="Picture 16">
            <a:extLst xmlns:a="http://schemas.openxmlformats.org/drawingml/2006/main">
              <a:ext uri="{FF2B5EF4-FFF2-40B4-BE49-F238E27FC236}">
                <a16:creationId xmlns:a16="http://schemas.microsoft.com/office/drawing/2014/main" id="{2494AFA1-E2AD-4324-8E5B-8ACFC34A73AB}"/>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2494AFA1-E2AD-4324-8E5B-8ACFC34A73AB}"/>
                      </a:ext>
                    </a:extLst>
                  </pic:cNvPr>
                  <pic:cNvPicPr/>
                </pic:nvPicPr>
                <pic:blipFill>
                  <a:blip r:embed="rId1">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29005" cy="802322"/>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CD"/>
    <w:rsid w:val="000C24CD"/>
    <w:rsid w:val="004A44B1"/>
    <w:rsid w:val="00B33481"/>
    <w:rsid w:val="00C824BA"/>
    <w:rsid w:val="00C84F2D"/>
    <w:rsid w:val="00E84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EF92B"/>
  <w15:chartTrackingRefBased/>
  <w15:docId w15:val="{A650D580-6EA3-4F92-AF39-5B8FCFCF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4CD"/>
    <w:pPr>
      <w:tabs>
        <w:tab w:val="center" w:pos="4680"/>
        <w:tab w:val="right" w:pos="9360"/>
      </w:tabs>
      <w:spacing w:after="0" w:line="240" w:lineRule="auto"/>
    </w:pPr>
    <w:rPr>
      <w:rFonts w:ascii="Calibri" w:hAnsi="Calibri" w:cs="Calibri"/>
    </w:rPr>
  </w:style>
  <w:style w:type="character" w:customStyle="1" w:styleId="HeaderChar">
    <w:name w:val="Header Char"/>
    <w:basedOn w:val="DefaultParagraphFont"/>
    <w:link w:val="Header"/>
    <w:uiPriority w:val="99"/>
    <w:rsid w:val="000C24CD"/>
    <w:rPr>
      <w:rFonts w:ascii="Calibri" w:hAnsi="Calibri" w:cs="Calibri"/>
    </w:rPr>
  </w:style>
  <w:style w:type="paragraph" w:styleId="Footer">
    <w:name w:val="footer"/>
    <w:basedOn w:val="Normal"/>
    <w:link w:val="FooterChar"/>
    <w:uiPriority w:val="99"/>
    <w:unhideWhenUsed/>
    <w:rsid w:val="000C24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4CD"/>
  </w:style>
  <w:style w:type="paragraph" w:styleId="BodyText">
    <w:name w:val="Body Text"/>
    <w:basedOn w:val="Normal"/>
    <w:link w:val="BodyTextChar"/>
    <w:uiPriority w:val="99"/>
    <w:rsid w:val="00B33481"/>
    <w:rPr>
      <w:rFonts w:ascii="Arial" w:hAnsi="Arial"/>
      <w:w w:val="101"/>
      <w:sz w:val="20"/>
    </w:rPr>
  </w:style>
  <w:style w:type="character" w:customStyle="1" w:styleId="BodyTextChar">
    <w:name w:val="Body Text Char"/>
    <w:basedOn w:val="DefaultParagraphFont"/>
    <w:link w:val="BodyText"/>
    <w:uiPriority w:val="99"/>
    <w:rsid w:val="00B33481"/>
    <w:rPr>
      <w:rFonts w:ascii="Arial" w:hAnsi="Arial"/>
      <w:w w:val="10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sha.gov/Publications/OSHA3990.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1094</Words>
  <Characters>6237</Characters>
  <Application>Microsoft Office Word</Application>
  <DocSecurity>0</DocSecurity>
  <Lines>51</Lines>
  <Paragraphs>14</Paragraphs>
  <ScaleCrop>false</ScaleCrop>
  <Company/>
  <LinksUpToDate>false</LinksUpToDate>
  <CharactersWithSpaces>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Verbos</dc:creator>
  <cp:keywords/>
  <dc:description/>
  <cp:lastModifiedBy>Marc Verbos</cp:lastModifiedBy>
  <cp:revision>2</cp:revision>
  <dcterms:created xsi:type="dcterms:W3CDTF">2020-03-23T19:17:00Z</dcterms:created>
  <dcterms:modified xsi:type="dcterms:W3CDTF">2020-03-23T19:17:00Z</dcterms:modified>
</cp:coreProperties>
</file>